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aretaduntaula"/>
        <w:tblW w:w="0" w:type="auto"/>
        <w:tblLook w:val="04A0" w:firstRow="1" w:lastRow="0" w:firstColumn="1" w:lastColumn="0" w:noHBand="0" w:noVBand="1"/>
      </w:tblPr>
      <w:tblGrid>
        <w:gridCol w:w="8494"/>
      </w:tblGrid>
      <w:tr w:rsidR="006B66C8" w:rsidRPr="006B66C8" w14:paraId="4C059D45" w14:textId="77777777" w:rsidTr="00577BBE">
        <w:tc>
          <w:tcPr>
            <w:tcW w:w="8494" w:type="dxa"/>
            <w:shd w:val="clear" w:color="auto" w:fill="DAEEF3" w:themeFill="accent5" w:themeFillTint="33"/>
          </w:tcPr>
          <w:p w14:paraId="18DC1E50" w14:textId="77777777" w:rsidR="00577BBE" w:rsidRDefault="00577BBE" w:rsidP="006B66C8">
            <w:pPr>
              <w:spacing w:before="100" w:beforeAutospacing="1" w:after="100" w:afterAutospacing="1" w:line="23" w:lineRule="atLeast"/>
              <w:jc w:val="center"/>
              <w:rPr>
                <w:rFonts w:ascii="Arial" w:hAnsi="Arial" w:cs="Arial"/>
                <w:b/>
              </w:rPr>
            </w:pPr>
          </w:p>
          <w:p w14:paraId="4C059D43" w14:textId="4B95A3C1" w:rsidR="006654B7" w:rsidRPr="006B66C8" w:rsidRDefault="00577BBE" w:rsidP="006B66C8">
            <w:pPr>
              <w:spacing w:before="100" w:beforeAutospacing="1" w:after="100" w:afterAutospacing="1" w:line="23" w:lineRule="atLeast"/>
              <w:jc w:val="center"/>
              <w:rPr>
                <w:rFonts w:ascii="Arial" w:hAnsi="Arial" w:cs="Arial"/>
                <w:b/>
              </w:rPr>
            </w:pPr>
            <w:r w:rsidRPr="00577BBE">
              <w:rPr>
                <w:rFonts w:ascii="Arial" w:hAnsi="Arial" w:cs="Arial"/>
                <w:b/>
              </w:rPr>
              <w:t>2030 AGENDA BONUEN PROGRAMA ARAUTZE</w:t>
            </w:r>
            <w:r>
              <w:rPr>
                <w:rFonts w:ascii="Arial" w:hAnsi="Arial" w:cs="Arial"/>
                <w:b/>
              </w:rPr>
              <w:t xml:space="preserve">KO </w:t>
            </w:r>
            <w:r w:rsidRPr="006B66C8">
              <w:rPr>
                <w:rFonts w:ascii="Arial" w:hAnsi="Arial" w:cs="Arial"/>
                <w:b/>
              </w:rPr>
              <w:t>DEKRETU</w:t>
            </w:r>
            <w:r>
              <w:rPr>
                <w:rFonts w:ascii="Arial" w:hAnsi="Arial" w:cs="Arial"/>
                <w:b/>
              </w:rPr>
              <w:t>-</w:t>
            </w:r>
            <w:r w:rsidRPr="006B66C8">
              <w:rPr>
                <w:rFonts w:ascii="Arial" w:hAnsi="Arial" w:cs="Arial"/>
                <w:b/>
              </w:rPr>
              <w:t>PROIEKTUA EGIN AURREKO KONTSULTA PUBLIKOA</w:t>
            </w:r>
            <w:r w:rsidR="006B66C8" w:rsidRPr="006B66C8">
              <w:rPr>
                <w:rFonts w:ascii="Arial" w:hAnsi="Arial" w:cs="Arial"/>
                <w:b/>
              </w:rPr>
              <w:t>.</w:t>
            </w:r>
          </w:p>
          <w:p w14:paraId="4C059D44" w14:textId="77777777" w:rsidR="006654B7" w:rsidRPr="006B66C8" w:rsidRDefault="006654B7" w:rsidP="00317A03">
            <w:pPr>
              <w:pStyle w:val="Default"/>
              <w:spacing w:before="100" w:beforeAutospacing="1" w:after="100" w:afterAutospacing="1" w:line="23" w:lineRule="atLeast"/>
              <w:rPr>
                <w:rFonts w:ascii="Arial" w:hAnsi="Arial" w:cs="Arial"/>
                <w:color w:val="auto"/>
                <w:sz w:val="20"/>
                <w:szCs w:val="20"/>
              </w:rPr>
            </w:pPr>
          </w:p>
        </w:tc>
      </w:tr>
    </w:tbl>
    <w:p w14:paraId="4C059D48" w14:textId="588A6E09" w:rsidR="006779F4" w:rsidRPr="006B66C8" w:rsidRDefault="00F109C3" w:rsidP="00317A03">
      <w:pPr>
        <w:pStyle w:val="Default"/>
        <w:spacing w:before="100" w:beforeAutospacing="1" w:after="100" w:afterAutospacing="1" w:line="23" w:lineRule="atLeast"/>
        <w:jc w:val="both"/>
        <w:rPr>
          <w:rFonts w:ascii="Arial" w:eastAsia="Times New Roman" w:hAnsi="Arial" w:cs="Arial"/>
          <w:color w:val="auto"/>
          <w:sz w:val="20"/>
          <w:szCs w:val="20"/>
        </w:rPr>
      </w:pPr>
      <w:r w:rsidRPr="006B66C8">
        <w:rPr>
          <w:rFonts w:ascii="Arial" w:hAnsi="Arial" w:cs="Arial"/>
          <w:color w:val="auto"/>
          <w:sz w:val="20"/>
          <w:szCs w:val="20"/>
        </w:rPr>
        <w:t>Administrazio Publikoen Administrazio Prozedura Erkideari buruzko urriaren 1eko 39/2015 Legearen 133.</w:t>
      </w:r>
      <w:r w:rsidR="00317A03" w:rsidRPr="006B66C8">
        <w:rPr>
          <w:rFonts w:ascii="Arial" w:hAnsi="Arial" w:cs="Arial"/>
          <w:color w:val="auto"/>
          <w:sz w:val="20"/>
          <w:szCs w:val="20"/>
        </w:rPr>
        <w:t>1</w:t>
      </w:r>
      <w:r w:rsidRPr="006B66C8">
        <w:rPr>
          <w:rFonts w:ascii="Arial" w:hAnsi="Arial" w:cs="Arial"/>
          <w:color w:val="auto"/>
          <w:sz w:val="20"/>
          <w:szCs w:val="20"/>
        </w:rPr>
        <w:t xml:space="preserve"> artikuluan ezarritakoa betez, aldez aurreko kontsulta egiten da prestatuko den arauak uki ditzakeen pertsonen eta ordezkaritza handiena duten erakundeen iritzia ezagutzeko honako honi buruz: </w:t>
      </w:r>
    </w:p>
    <w:p w14:paraId="4C059D4A" w14:textId="77777777" w:rsidR="006779F4" w:rsidRPr="006B66C8" w:rsidRDefault="006779F4" w:rsidP="00317A03">
      <w:pPr>
        <w:pStyle w:val="Default"/>
        <w:spacing w:before="100" w:beforeAutospacing="1" w:after="100" w:afterAutospacing="1" w:line="23" w:lineRule="atLeast"/>
        <w:ind w:left="709"/>
        <w:rPr>
          <w:rFonts w:ascii="Arial" w:eastAsia="Times New Roman" w:hAnsi="Arial" w:cs="Arial"/>
          <w:color w:val="auto"/>
          <w:sz w:val="20"/>
          <w:szCs w:val="20"/>
        </w:rPr>
      </w:pPr>
      <w:r w:rsidRPr="006B66C8">
        <w:rPr>
          <w:rFonts w:ascii="Arial" w:hAnsi="Arial" w:cs="Arial"/>
          <w:color w:val="auto"/>
          <w:sz w:val="20"/>
          <w:szCs w:val="20"/>
        </w:rPr>
        <w:t xml:space="preserve">• Ekimenaren bidez konpondu nahi diren arazoak. </w:t>
      </w:r>
    </w:p>
    <w:p w14:paraId="4C059D4B" w14:textId="77777777" w:rsidR="006779F4" w:rsidRPr="006B66C8" w:rsidRDefault="006779F4" w:rsidP="00317A03">
      <w:pPr>
        <w:pStyle w:val="Default"/>
        <w:spacing w:before="100" w:beforeAutospacing="1" w:after="100" w:afterAutospacing="1" w:line="23" w:lineRule="atLeast"/>
        <w:ind w:left="709"/>
        <w:rPr>
          <w:rFonts w:ascii="Arial" w:eastAsia="Times New Roman" w:hAnsi="Arial" w:cs="Arial"/>
          <w:color w:val="auto"/>
          <w:sz w:val="20"/>
          <w:szCs w:val="20"/>
        </w:rPr>
      </w:pPr>
      <w:r w:rsidRPr="006B66C8">
        <w:rPr>
          <w:rFonts w:ascii="Arial" w:hAnsi="Arial" w:cs="Arial"/>
          <w:color w:val="auto"/>
          <w:sz w:val="20"/>
          <w:szCs w:val="20"/>
        </w:rPr>
        <w:t xml:space="preserve">• Ekimena onartzeko premia eta aukera. </w:t>
      </w:r>
    </w:p>
    <w:p w14:paraId="4C059D4C" w14:textId="77777777" w:rsidR="006779F4" w:rsidRPr="006B66C8" w:rsidRDefault="00DA72A6" w:rsidP="00317A03">
      <w:pPr>
        <w:pStyle w:val="Default"/>
        <w:spacing w:before="100" w:beforeAutospacing="1" w:after="100" w:afterAutospacing="1" w:line="23" w:lineRule="atLeast"/>
        <w:ind w:left="709"/>
        <w:rPr>
          <w:rFonts w:ascii="Arial" w:eastAsia="Times New Roman" w:hAnsi="Arial" w:cs="Arial"/>
          <w:color w:val="auto"/>
          <w:sz w:val="20"/>
          <w:szCs w:val="20"/>
        </w:rPr>
      </w:pPr>
      <w:r w:rsidRPr="006B66C8">
        <w:rPr>
          <w:rFonts w:ascii="Arial" w:hAnsi="Arial" w:cs="Arial"/>
          <w:color w:val="auto"/>
          <w:sz w:val="20"/>
          <w:szCs w:val="20"/>
        </w:rPr>
        <w:t xml:space="preserve">• Arauaren helburua. </w:t>
      </w:r>
    </w:p>
    <w:p w14:paraId="4C059D4D" w14:textId="2BC9051B" w:rsidR="006779F4" w:rsidRPr="00577BBE" w:rsidRDefault="006779F4" w:rsidP="00317A03">
      <w:pPr>
        <w:pStyle w:val="Default"/>
        <w:spacing w:before="100" w:beforeAutospacing="1" w:after="100" w:afterAutospacing="1" w:line="23" w:lineRule="atLeast"/>
        <w:ind w:left="709"/>
        <w:rPr>
          <w:rFonts w:ascii="Arial" w:hAnsi="Arial" w:cs="Arial"/>
          <w:color w:val="auto"/>
          <w:sz w:val="20"/>
          <w:szCs w:val="20"/>
        </w:rPr>
      </w:pPr>
      <w:r w:rsidRPr="006B66C8">
        <w:rPr>
          <w:rFonts w:ascii="Arial" w:hAnsi="Arial" w:cs="Arial"/>
          <w:color w:val="auto"/>
          <w:sz w:val="20"/>
          <w:szCs w:val="20"/>
        </w:rPr>
        <w:t>• Bestelako aukera posibleak, arauzkoak eta ez-arauzkoak</w:t>
      </w:r>
      <w:r w:rsidRPr="00577BBE">
        <w:rPr>
          <w:rFonts w:ascii="Arial" w:hAnsi="Arial" w:cs="Arial"/>
          <w:color w:val="auto"/>
          <w:sz w:val="20"/>
          <w:szCs w:val="20"/>
        </w:rPr>
        <w:t xml:space="preserve">. </w:t>
      </w:r>
    </w:p>
    <w:p w14:paraId="59D59B86" w14:textId="77777777" w:rsidR="00577BBE" w:rsidRPr="00577BBE" w:rsidRDefault="00577BBE" w:rsidP="00317A03">
      <w:pPr>
        <w:pStyle w:val="Default"/>
        <w:spacing w:before="100" w:beforeAutospacing="1" w:after="100" w:afterAutospacing="1" w:line="23" w:lineRule="atLeast"/>
        <w:ind w:left="709"/>
        <w:rPr>
          <w:rFonts w:ascii="Arial" w:eastAsia="Times New Roman" w:hAnsi="Arial" w:cs="Arial"/>
          <w:color w:val="auto"/>
          <w:sz w:val="20"/>
          <w:szCs w:val="20"/>
        </w:rPr>
      </w:pPr>
    </w:p>
    <w:tbl>
      <w:tblPr>
        <w:tblStyle w:val="Saretaduntaula"/>
        <w:tblW w:w="8416" w:type="dxa"/>
        <w:tblInd w:w="108" w:type="dxa"/>
        <w:tblLook w:val="04A0" w:firstRow="1" w:lastRow="0" w:firstColumn="1" w:lastColumn="0" w:noHBand="0" w:noVBand="1"/>
      </w:tblPr>
      <w:tblGrid>
        <w:gridCol w:w="2100"/>
        <w:gridCol w:w="6316"/>
      </w:tblGrid>
      <w:tr w:rsidR="00577BBE" w:rsidRPr="00577BBE" w14:paraId="4C059D54" w14:textId="77777777" w:rsidTr="00554FC2">
        <w:trPr>
          <w:trHeight w:val="143"/>
        </w:trPr>
        <w:tc>
          <w:tcPr>
            <w:tcW w:w="2100" w:type="dxa"/>
            <w:shd w:val="clear" w:color="auto" w:fill="DAEEF3" w:themeFill="accent5" w:themeFillTint="33"/>
          </w:tcPr>
          <w:p w14:paraId="1D28BB36" w14:textId="2F99DBC7" w:rsidR="00D050FB" w:rsidRPr="00577BBE" w:rsidRDefault="00D050FB" w:rsidP="00D050FB">
            <w:pPr>
              <w:pStyle w:val="Default"/>
              <w:spacing w:line="276" w:lineRule="auto"/>
              <w:rPr>
                <w:rFonts w:ascii="Arial" w:hAnsi="Arial" w:cs="Arial"/>
                <w:b/>
                <w:color w:val="auto"/>
                <w:sz w:val="20"/>
                <w:szCs w:val="20"/>
              </w:rPr>
            </w:pPr>
            <w:r w:rsidRPr="00577BBE">
              <w:rPr>
                <w:rFonts w:ascii="Arial" w:hAnsi="Arial" w:cs="Arial"/>
                <w:b/>
                <w:color w:val="auto"/>
                <w:sz w:val="20"/>
                <w:szCs w:val="20"/>
              </w:rPr>
              <w:t>Ekimenaren bidez k</w:t>
            </w:r>
            <w:r w:rsidR="006654B7" w:rsidRPr="00577BBE">
              <w:rPr>
                <w:rFonts w:ascii="Arial" w:hAnsi="Arial" w:cs="Arial"/>
                <w:b/>
                <w:color w:val="auto"/>
                <w:sz w:val="20"/>
                <w:szCs w:val="20"/>
              </w:rPr>
              <w:t>onpondu nahi diren arazoak</w:t>
            </w:r>
          </w:p>
          <w:p w14:paraId="4C059D52" w14:textId="118101A4" w:rsidR="006654B7" w:rsidRPr="00577BBE" w:rsidRDefault="006654B7" w:rsidP="00D050FB">
            <w:pPr>
              <w:pStyle w:val="Default"/>
              <w:spacing w:line="276" w:lineRule="auto"/>
              <w:rPr>
                <w:rFonts w:ascii="Arial" w:eastAsia="Times New Roman" w:hAnsi="Arial" w:cs="Arial"/>
                <w:b/>
                <w:color w:val="auto"/>
                <w:sz w:val="20"/>
                <w:szCs w:val="20"/>
              </w:rPr>
            </w:pPr>
          </w:p>
        </w:tc>
        <w:tc>
          <w:tcPr>
            <w:tcW w:w="6316" w:type="dxa"/>
            <w:shd w:val="clear" w:color="auto" w:fill="D6E3BC" w:themeFill="accent3" w:themeFillTint="66"/>
          </w:tcPr>
          <w:p w14:paraId="3D5D5003" w14:textId="31900026" w:rsidR="00D050FB" w:rsidRPr="00577BBE" w:rsidRDefault="00D050FB" w:rsidP="00D050FB">
            <w:pPr>
              <w:pStyle w:val="Default"/>
              <w:spacing w:line="276" w:lineRule="auto"/>
              <w:jc w:val="both"/>
              <w:rPr>
                <w:rFonts w:ascii="Arial" w:hAnsi="Arial" w:cs="Arial"/>
                <w:color w:val="auto"/>
                <w:sz w:val="20"/>
                <w:szCs w:val="20"/>
              </w:rPr>
            </w:pPr>
            <w:r w:rsidRPr="00577BBE">
              <w:rPr>
                <w:rFonts w:ascii="Arial" w:hAnsi="Arial" w:cs="Arial"/>
                <w:color w:val="auto"/>
                <w:sz w:val="20"/>
                <w:szCs w:val="20"/>
              </w:rPr>
              <w:t>2030 Agendari buruzko ezagutza ez da oso handia gure gizartean. Egiaztapen horrek agerian uzten du zaila dela herritarren inplikazioa handiagoa lortzea, balioa barneratzeko zein bultzatzeko. Etapa berri honetan, funtsezko zeregina da 2030 Agendaren esanahiaren dibulgazioa hobetzea eta G</w:t>
            </w:r>
            <w:r w:rsidR="00577BBE" w:rsidRPr="00577BBE">
              <w:rPr>
                <w:rFonts w:ascii="Arial" w:hAnsi="Arial" w:cs="Arial"/>
                <w:color w:val="auto"/>
                <w:sz w:val="20"/>
                <w:szCs w:val="20"/>
              </w:rPr>
              <w:t xml:space="preserve">arapen </w:t>
            </w:r>
            <w:r w:rsidRPr="00577BBE">
              <w:rPr>
                <w:rFonts w:ascii="Arial" w:hAnsi="Arial" w:cs="Arial"/>
                <w:color w:val="auto"/>
                <w:sz w:val="20"/>
                <w:szCs w:val="20"/>
              </w:rPr>
              <w:t>J</w:t>
            </w:r>
            <w:r w:rsidR="00577BBE" w:rsidRPr="00577BBE">
              <w:rPr>
                <w:rFonts w:ascii="Arial" w:hAnsi="Arial" w:cs="Arial"/>
                <w:color w:val="auto"/>
                <w:sz w:val="20"/>
                <w:szCs w:val="20"/>
              </w:rPr>
              <w:t xml:space="preserve">asangarrirako </w:t>
            </w:r>
            <w:r w:rsidRPr="00577BBE">
              <w:rPr>
                <w:rFonts w:ascii="Arial" w:hAnsi="Arial" w:cs="Arial"/>
                <w:color w:val="auto"/>
                <w:sz w:val="20"/>
                <w:szCs w:val="20"/>
              </w:rPr>
              <w:t>H</w:t>
            </w:r>
            <w:r w:rsidR="00577BBE" w:rsidRPr="00577BBE">
              <w:rPr>
                <w:rFonts w:ascii="Arial" w:hAnsi="Arial" w:cs="Arial"/>
                <w:color w:val="auto"/>
                <w:sz w:val="20"/>
                <w:szCs w:val="20"/>
              </w:rPr>
              <w:t>elburuek</w:t>
            </w:r>
            <w:r w:rsidRPr="00577BBE">
              <w:rPr>
                <w:rFonts w:ascii="Arial" w:hAnsi="Arial" w:cs="Arial"/>
                <w:color w:val="auto"/>
                <w:sz w:val="20"/>
                <w:szCs w:val="20"/>
              </w:rPr>
              <w:t xml:space="preserve"> adierazten duten eraldaketan txertatzeko mekanismoak antolatzea.</w:t>
            </w:r>
          </w:p>
          <w:p w14:paraId="4C059D53" w14:textId="085B9B31" w:rsidR="00554FC2" w:rsidRPr="00577BBE" w:rsidRDefault="00554FC2" w:rsidP="00D050FB">
            <w:pPr>
              <w:pStyle w:val="Default"/>
              <w:spacing w:line="276" w:lineRule="auto"/>
              <w:jc w:val="both"/>
              <w:rPr>
                <w:rFonts w:ascii="Arial" w:hAnsi="Arial" w:cs="Arial"/>
                <w:color w:val="auto"/>
                <w:sz w:val="20"/>
                <w:szCs w:val="20"/>
              </w:rPr>
            </w:pPr>
          </w:p>
        </w:tc>
      </w:tr>
      <w:tr w:rsidR="00577BBE" w:rsidRPr="00577BBE" w14:paraId="4C059D58" w14:textId="77777777" w:rsidTr="00D050FB">
        <w:trPr>
          <w:trHeight w:val="785"/>
        </w:trPr>
        <w:tc>
          <w:tcPr>
            <w:tcW w:w="2100" w:type="dxa"/>
            <w:shd w:val="clear" w:color="auto" w:fill="DAEEF3" w:themeFill="accent5" w:themeFillTint="33"/>
          </w:tcPr>
          <w:p w14:paraId="389583B3" w14:textId="77777777" w:rsidR="006654B7" w:rsidRPr="00577BBE" w:rsidRDefault="006654B7" w:rsidP="00D050FB">
            <w:pPr>
              <w:pStyle w:val="Default"/>
              <w:spacing w:line="276" w:lineRule="auto"/>
              <w:rPr>
                <w:rFonts w:ascii="Arial" w:hAnsi="Arial" w:cs="Arial"/>
                <w:b/>
                <w:color w:val="auto"/>
                <w:sz w:val="20"/>
                <w:szCs w:val="20"/>
              </w:rPr>
            </w:pPr>
            <w:r w:rsidRPr="00577BBE">
              <w:rPr>
                <w:rFonts w:ascii="Arial" w:hAnsi="Arial" w:cs="Arial"/>
                <w:b/>
                <w:color w:val="auto"/>
                <w:sz w:val="20"/>
                <w:szCs w:val="20"/>
              </w:rPr>
              <w:t>Ekimena onartzeko premia eta aukera.</w:t>
            </w:r>
          </w:p>
          <w:p w14:paraId="4C059D55" w14:textId="2A41C7AA" w:rsidR="00D050FB" w:rsidRPr="00577BBE" w:rsidRDefault="00D050FB" w:rsidP="00D050FB">
            <w:pPr>
              <w:pStyle w:val="Default"/>
              <w:spacing w:line="276" w:lineRule="auto"/>
              <w:rPr>
                <w:rFonts w:ascii="Arial" w:eastAsia="Times New Roman" w:hAnsi="Arial" w:cs="Arial"/>
                <w:b/>
                <w:color w:val="auto"/>
                <w:sz w:val="20"/>
                <w:szCs w:val="20"/>
              </w:rPr>
            </w:pPr>
          </w:p>
        </w:tc>
        <w:tc>
          <w:tcPr>
            <w:tcW w:w="6316" w:type="dxa"/>
            <w:shd w:val="clear" w:color="auto" w:fill="D6E3BC" w:themeFill="accent3" w:themeFillTint="66"/>
          </w:tcPr>
          <w:p w14:paraId="3C23A397" w14:textId="77777777" w:rsidR="00D050FB" w:rsidRPr="00577BBE" w:rsidRDefault="00D050FB" w:rsidP="00D050FB">
            <w:pPr>
              <w:pStyle w:val="Default"/>
              <w:spacing w:line="276" w:lineRule="auto"/>
              <w:jc w:val="both"/>
              <w:rPr>
                <w:rFonts w:ascii="Arial" w:hAnsi="Arial" w:cs="Arial"/>
                <w:color w:val="auto"/>
                <w:sz w:val="20"/>
                <w:szCs w:val="20"/>
              </w:rPr>
            </w:pPr>
            <w:r w:rsidRPr="00577BBE">
              <w:rPr>
                <w:rFonts w:ascii="Arial" w:hAnsi="Arial" w:cs="Arial"/>
                <w:color w:val="auto"/>
                <w:sz w:val="20"/>
                <w:szCs w:val="20"/>
              </w:rPr>
              <w:t>2030 Agenda Bonuen Programak lehentasun horri erantzuten dio. Izan ere, 2030 Agenda bultzatzeko, hainbat erakunderen eta gizarte-entitateen arteko lankidetza-sinergia sortzeko aukera ematen du.</w:t>
            </w:r>
          </w:p>
          <w:p w14:paraId="4C059D57" w14:textId="6D283FC7" w:rsidR="00554FC2" w:rsidRPr="00577BBE" w:rsidRDefault="00554FC2" w:rsidP="00D050FB">
            <w:pPr>
              <w:pStyle w:val="Default"/>
              <w:spacing w:line="276" w:lineRule="auto"/>
              <w:jc w:val="both"/>
              <w:rPr>
                <w:rFonts w:ascii="Arial" w:hAnsi="Arial" w:cs="Arial"/>
                <w:color w:val="auto"/>
                <w:sz w:val="20"/>
                <w:szCs w:val="20"/>
              </w:rPr>
            </w:pPr>
          </w:p>
        </w:tc>
      </w:tr>
      <w:tr w:rsidR="00577BBE" w:rsidRPr="00577BBE" w14:paraId="4C059D5C" w14:textId="77777777" w:rsidTr="00D050FB">
        <w:trPr>
          <w:trHeight w:val="666"/>
        </w:trPr>
        <w:tc>
          <w:tcPr>
            <w:tcW w:w="2100" w:type="dxa"/>
            <w:shd w:val="clear" w:color="auto" w:fill="DAEEF3" w:themeFill="accent5" w:themeFillTint="33"/>
          </w:tcPr>
          <w:p w14:paraId="046CAF23" w14:textId="6902D31A" w:rsidR="006654B7" w:rsidRPr="00577BBE" w:rsidRDefault="00905DA4" w:rsidP="00D050FB">
            <w:pPr>
              <w:pStyle w:val="Default"/>
              <w:spacing w:line="276" w:lineRule="auto"/>
              <w:rPr>
                <w:rFonts w:ascii="Arial" w:hAnsi="Arial" w:cs="Arial"/>
                <w:b/>
                <w:color w:val="auto"/>
                <w:sz w:val="20"/>
                <w:szCs w:val="20"/>
              </w:rPr>
            </w:pPr>
            <w:r w:rsidRPr="00577BBE">
              <w:rPr>
                <w:rFonts w:ascii="Arial" w:hAnsi="Arial" w:cs="Arial"/>
                <w:b/>
                <w:color w:val="auto"/>
                <w:sz w:val="20"/>
                <w:szCs w:val="20"/>
              </w:rPr>
              <w:t xml:space="preserve">Arauaren </w:t>
            </w:r>
            <w:r w:rsidR="00780002">
              <w:rPr>
                <w:rFonts w:ascii="Arial" w:hAnsi="Arial" w:cs="Arial"/>
                <w:b/>
                <w:color w:val="auto"/>
                <w:sz w:val="20"/>
                <w:szCs w:val="20"/>
              </w:rPr>
              <w:t>xedea eta helburuak</w:t>
            </w:r>
            <w:r w:rsidR="00D050FB" w:rsidRPr="00577BBE">
              <w:rPr>
                <w:rFonts w:ascii="Arial" w:hAnsi="Arial" w:cs="Arial"/>
                <w:b/>
                <w:color w:val="auto"/>
                <w:sz w:val="20"/>
                <w:szCs w:val="20"/>
              </w:rPr>
              <w:t>.</w:t>
            </w:r>
          </w:p>
          <w:p w14:paraId="4C059D59" w14:textId="37103922" w:rsidR="00D050FB" w:rsidRPr="00577BBE" w:rsidRDefault="00D050FB" w:rsidP="00D050FB">
            <w:pPr>
              <w:pStyle w:val="Default"/>
              <w:spacing w:line="276" w:lineRule="auto"/>
              <w:rPr>
                <w:rFonts w:ascii="Arial" w:eastAsia="Times New Roman" w:hAnsi="Arial" w:cs="Arial"/>
                <w:color w:val="auto"/>
                <w:sz w:val="20"/>
                <w:szCs w:val="20"/>
              </w:rPr>
            </w:pPr>
          </w:p>
        </w:tc>
        <w:tc>
          <w:tcPr>
            <w:tcW w:w="6316" w:type="dxa"/>
            <w:shd w:val="clear" w:color="auto" w:fill="D6E3BC" w:themeFill="accent3" w:themeFillTint="66"/>
          </w:tcPr>
          <w:p w14:paraId="54257458" w14:textId="5BC7092B" w:rsidR="00780002" w:rsidRDefault="00577BBE" w:rsidP="00780002">
            <w:pPr>
              <w:spacing w:line="276" w:lineRule="auto"/>
              <w:jc w:val="both"/>
              <w:rPr>
                <w:rFonts w:ascii="Arial" w:hAnsi="Arial" w:cs="Arial"/>
                <w:sz w:val="20"/>
                <w:szCs w:val="20"/>
              </w:rPr>
            </w:pPr>
            <w:r w:rsidRPr="00577BBE">
              <w:rPr>
                <w:rFonts w:ascii="Arial" w:hAnsi="Arial" w:cs="Arial"/>
                <w:sz w:val="20"/>
                <w:szCs w:val="20"/>
              </w:rPr>
              <w:t xml:space="preserve">Lehendakaritzak onartu nahi duen arauaren xedea da 2030 Agenda bonuen programa arautzea. 2030 Agendaren arloko proiektuetarako dirulaguntza lerro bat da, </w:t>
            </w:r>
            <w:bookmarkStart w:id="0" w:name="_GoBack"/>
            <w:bookmarkEnd w:id="0"/>
            <w:r w:rsidRPr="00577BBE">
              <w:rPr>
                <w:rFonts w:ascii="Arial" w:hAnsi="Arial" w:cs="Arial"/>
                <w:sz w:val="20"/>
                <w:szCs w:val="20"/>
              </w:rPr>
              <w:t>2030 Agendari eta Garapen Jasangarrirako Helburuei dagokienez garatutako dibulgazio-, hezkuntza, prestakuntza- eta/edo partaidetza-ekintzak sustatzeko eta ugaritzeko.</w:t>
            </w:r>
          </w:p>
          <w:p w14:paraId="15005001" w14:textId="77777777" w:rsidR="00780002" w:rsidRDefault="00780002" w:rsidP="00780002">
            <w:pPr>
              <w:spacing w:line="276" w:lineRule="auto"/>
              <w:jc w:val="both"/>
              <w:rPr>
                <w:rFonts w:ascii="Arial" w:hAnsi="Arial" w:cs="Arial"/>
                <w:sz w:val="20"/>
                <w:szCs w:val="20"/>
              </w:rPr>
            </w:pPr>
          </w:p>
          <w:p w14:paraId="6E71936E" w14:textId="00AAF163" w:rsidR="00780002" w:rsidRPr="00780002" w:rsidRDefault="00780002" w:rsidP="00780002">
            <w:pPr>
              <w:spacing w:line="276" w:lineRule="auto"/>
              <w:jc w:val="both"/>
              <w:rPr>
                <w:rFonts w:ascii="Arial" w:hAnsi="Arial" w:cs="Arial"/>
                <w:sz w:val="20"/>
                <w:szCs w:val="20"/>
              </w:rPr>
            </w:pPr>
            <w:r>
              <w:rPr>
                <w:rFonts w:ascii="Arial" w:hAnsi="Arial" w:cs="Arial"/>
                <w:sz w:val="20"/>
                <w:szCs w:val="20"/>
              </w:rPr>
              <w:t>D</w:t>
            </w:r>
            <w:r w:rsidRPr="00780002">
              <w:rPr>
                <w:rFonts w:ascii="Arial" w:hAnsi="Arial" w:cs="Arial"/>
                <w:sz w:val="20"/>
                <w:szCs w:val="20"/>
              </w:rPr>
              <w:t>irulaguntzen lerro berri honen helburuak hauek dira:</w:t>
            </w:r>
          </w:p>
          <w:p w14:paraId="1631D408" w14:textId="77777777" w:rsidR="00780002" w:rsidRPr="00780002" w:rsidRDefault="00780002" w:rsidP="00780002">
            <w:pPr>
              <w:pStyle w:val="BOPVDetalle"/>
              <w:spacing w:after="0" w:line="276" w:lineRule="auto"/>
              <w:ind w:left="57" w:firstLine="0"/>
              <w:jc w:val="both"/>
              <w:rPr>
                <w:rFonts w:eastAsiaTheme="minorHAnsi" w:cs="Arial"/>
                <w:sz w:val="20"/>
                <w:szCs w:val="20"/>
                <w:lang w:val="eu-ES" w:eastAsia="en-US"/>
              </w:rPr>
            </w:pPr>
          </w:p>
          <w:p w14:paraId="109FEE22" w14:textId="77777777" w:rsidR="00780002" w:rsidRPr="00780002" w:rsidRDefault="00780002" w:rsidP="00780002">
            <w:pPr>
              <w:pStyle w:val="BOPVDetalle"/>
              <w:numPr>
                <w:ilvl w:val="0"/>
                <w:numId w:val="5"/>
              </w:numPr>
              <w:spacing w:after="0" w:line="276" w:lineRule="auto"/>
              <w:ind w:hanging="357"/>
              <w:jc w:val="both"/>
              <w:rPr>
                <w:rFonts w:eastAsiaTheme="minorHAnsi" w:cs="Arial"/>
                <w:sz w:val="20"/>
                <w:szCs w:val="20"/>
                <w:lang w:val="eu-ES" w:eastAsia="en-US"/>
              </w:rPr>
            </w:pPr>
            <w:r w:rsidRPr="00780002">
              <w:rPr>
                <w:rFonts w:eastAsiaTheme="minorHAnsi" w:cs="Arial"/>
                <w:sz w:val="20"/>
                <w:szCs w:val="20"/>
                <w:lang w:val="eu-ES" w:eastAsia="en-US"/>
              </w:rPr>
              <w:t>2030 Agendaren esanahiari, proiekzioari eta garrantziari buruzko gizarte-ezagutza handiagoa lortzea.</w:t>
            </w:r>
          </w:p>
          <w:p w14:paraId="627F3CCE" w14:textId="77777777" w:rsidR="00780002" w:rsidRPr="00780002" w:rsidRDefault="00780002" w:rsidP="00780002">
            <w:pPr>
              <w:pStyle w:val="BOPVDetalle"/>
              <w:numPr>
                <w:ilvl w:val="0"/>
                <w:numId w:val="5"/>
              </w:numPr>
              <w:spacing w:after="0" w:line="276" w:lineRule="auto"/>
              <w:ind w:hanging="357"/>
              <w:jc w:val="both"/>
              <w:rPr>
                <w:rFonts w:eastAsiaTheme="minorHAnsi" w:cs="Arial"/>
                <w:sz w:val="20"/>
                <w:szCs w:val="20"/>
                <w:lang w:val="eu-ES" w:eastAsia="en-US"/>
              </w:rPr>
            </w:pPr>
            <w:r w:rsidRPr="00780002">
              <w:rPr>
                <w:rFonts w:eastAsiaTheme="minorHAnsi" w:cs="Arial"/>
                <w:sz w:val="20"/>
                <w:szCs w:val="20"/>
                <w:lang w:val="eu-ES" w:eastAsia="en-US"/>
              </w:rPr>
              <w:t>Elkarrizketa, parte-hartze eta inplikazio sozialerako bideak eskaintzea Garapen Iraunkorreko Helburuei dagokienez.</w:t>
            </w:r>
          </w:p>
          <w:p w14:paraId="464C9C5A" w14:textId="77777777" w:rsidR="00780002" w:rsidRPr="00780002" w:rsidRDefault="00780002" w:rsidP="00780002">
            <w:pPr>
              <w:pStyle w:val="BOPVDetalle"/>
              <w:numPr>
                <w:ilvl w:val="0"/>
                <w:numId w:val="5"/>
              </w:numPr>
              <w:spacing w:after="0" w:line="276" w:lineRule="auto"/>
              <w:ind w:hanging="357"/>
              <w:jc w:val="both"/>
              <w:rPr>
                <w:rFonts w:eastAsiaTheme="minorHAnsi" w:cs="Arial"/>
                <w:sz w:val="20"/>
                <w:szCs w:val="20"/>
                <w:lang w:val="eu-ES" w:eastAsia="en-US"/>
              </w:rPr>
            </w:pPr>
            <w:r w:rsidRPr="00780002">
              <w:rPr>
                <w:rFonts w:eastAsiaTheme="minorHAnsi" w:cs="Arial"/>
                <w:sz w:val="20"/>
                <w:szCs w:val="20"/>
                <w:lang w:val="eu-ES" w:eastAsia="en-US"/>
              </w:rPr>
              <w:t>Hezkuntza-tresnak eta -ekimenak indartzea, giza garapenaren eta garapen iraunkorraren pedagogia eta Euskadi 2030 Agenda Gizarte Kontratuaren printzipioak eta balioak garatzeko.</w:t>
            </w:r>
          </w:p>
          <w:p w14:paraId="041709A8" w14:textId="0EA6AFCA" w:rsidR="00780002" w:rsidRPr="00780002" w:rsidRDefault="00780002" w:rsidP="00780002">
            <w:pPr>
              <w:pStyle w:val="BOPVDetalle"/>
              <w:numPr>
                <w:ilvl w:val="0"/>
                <w:numId w:val="5"/>
              </w:numPr>
              <w:spacing w:after="0" w:line="276" w:lineRule="auto"/>
              <w:ind w:hanging="357"/>
              <w:jc w:val="both"/>
              <w:rPr>
                <w:rFonts w:eastAsiaTheme="minorHAnsi" w:cs="Arial"/>
                <w:sz w:val="20"/>
                <w:szCs w:val="20"/>
                <w:lang w:val="eu-ES" w:eastAsia="en-US"/>
              </w:rPr>
            </w:pPr>
            <w:r w:rsidRPr="00780002">
              <w:rPr>
                <w:rFonts w:eastAsiaTheme="minorHAnsi" w:cs="Arial"/>
                <w:sz w:val="20"/>
                <w:szCs w:val="20"/>
                <w:lang w:val="eu-ES" w:eastAsia="en-US"/>
              </w:rPr>
              <w:t>G</w:t>
            </w:r>
            <w:r>
              <w:rPr>
                <w:rFonts w:eastAsiaTheme="minorHAnsi" w:cs="Arial"/>
                <w:sz w:val="20"/>
                <w:szCs w:val="20"/>
                <w:lang w:val="eu-ES" w:eastAsia="en-US"/>
              </w:rPr>
              <w:t>J</w:t>
            </w:r>
            <w:r w:rsidRPr="00780002">
              <w:rPr>
                <w:rFonts w:eastAsiaTheme="minorHAnsi" w:cs="Arial"/>
                <w:sz w:val="20"/>
                <w:szCs w:val="20"/>
                <w:lang w:val="eu-ES" w:eastAsia="en-US"/>
              </w:rPr>
              <w:t>Hak erakundeen, sektoreen edo erakundeen jarduera-eremu guztietan ezartzeko prestakuntza-tresnak babestea.</w:t>
            </w:r>
          </w:p>
          <w:p w14:paraId="0524C76B" w14:textId="77777777" w:rsidR="00577BBE" w:rsidRPr="00577BBE" w:rsidRDefault="00577BBE" w:rsidP="00577BBE">
            <w:pPr>
              <w:spacing w:line="276" w:lineRule="auto"/>
              <w:jc w:val="both"/>
              <w:rPr>
                <w:rFonts w:ascii="Arial" w:hAnsi="Arial" w:cs="Arial"/>
                <w:sz w:val="20"/>
                <w:szCs w:val="20"/>
              </w:rPr>
            </w:pPr>
          </w:p>
          <w:p w14:paraId="66384CAD" w14:textId="77777777" w:rsidR="00780002" w:rsidRDefault="00780002" w:rsidP="00577BBE">
            <w:pPr>
              <w:spacing w:line="276" w:lineRule="auto"/>
              <w:jc w:val="both"/>
              <w:rPr>
                <w:rFonts w:ascii="Arial" w:hAnsi="Arial" w:cs="Arial"/>
                <w:sz w:val="20"/>
                <w:szCs w:val="20"/>
              </w:rPr>
            </w:pPr>
            <w:r w:rsidRPr="00780002">
              <w:rPr>
                <w:rFonts w:ascii="Arial" w:hAnsi="Arial" w:cs="Arial"/>
                <w:sz w:val="20"/>
                <w:szCs w:val="20"/>
              </w:rPr>
              <w:lastRenderedPageBreak/>
              <w:t>Laguntza hauen hartzaileak irabazi-asmorik gabeko erakundeak dira, Euskal Autonomia Erkidegoko elkarteen edo fundazioen erregistroan inskribatuta daudenak, eta haien jarduera- eremua Euskal Autonomia Erkidegoan dutenak.</w:t>
            </w:r>
          </w:p>
          <w:p w14:paraId="4C059D5B" w14:textId="6E30EE71" w:rsidR="004551D9" w:rsidRPr="00577BBE" w:rsidRDefault="004551D9" w:rsidP="00577BBE">
            <w:pPr>
              <w:spacing w:line="276" w:lineRule="auto"/>
              <w:jc w:val="both"/>
              <w:rPr>
                <w:rFonts w:ascii="Arial" w:hAnsi="Arial" w:cs="Arial"/>
                <w:sz w:val="20"/>
                <w:szCs w:val="20"/>
              </w:rPr>
            </w:pPr>
          </w:p>
        </w:tc>
      </w:tr>
      <w:tr w:rsidR="00577BBE" w:rsidRPr="00577BBE" w14:paraId="4C059D5F" w14:textId="77777777" w:rsidTr="00554FC2">
        <w:trPr>
          <w:trHeight w:val="938"/>
        </w:trPr>
        <w:tc>
          <w:tcPr>
            <w:tcW w:w="2100" w:type="dxa"/>
            <w:shd w:val="clear" w:color="auto" w:fill="DAEEF3" w:themeFill="accent5" w:themeFillTint="33"/>
          </w:tcPr>
          <w:p w14:paraId="5F9C1BDA" w14:textId="77777777" w:rsidR="006654B7" w:rsidRPr="00577BBE" w:rsidRDefault="006654B7" w:rsidP="00D050FB">
            <w:pPr>
              <w:pStyle w:val="Default"/>
              <w:spacing w:line="276" w:lineRule="auto"/>
              <w:rPr>
                <w:rFonts w:ascii="Arial" w:hAnsi="Arial" w:cs="Arial"/>
                <w:b/>
                <w:color w:val="auto"/>
                <w:sz w:val="20"/>
                <w:szCs w:val="20"/>
              </w:rPr>
            </w:pPr>
            <w:r w:rsidRPr="00577BBE">
              <w:rPr>
                <w:rFonts w:ascii="Arial" w:hAnsi="Arial" w:cs="Arial"/>
                <w:b/>
                <w:color w:val="auto"/>
                <w:sz w:val="20"/>
                <w:szCs w:val="20"/>
              </w:rPr>
              <w:lastRenderedPageBreak/>
              <w:t>Bestelako aukerak, arautzekoak eta arautzekoak ez direnak</w:t>
            </w:r>
          </w:p>
          <w:p w14:paraId="4C059D5D" w14:textId="70C20DE6" w:rsidR="00905DA4" w:rsidRPr="00577BBE" w:rsidRDefault="00905DA4" w:rsidP="00D050FB">
            <w:pPr>
              <w:pStyle w:val="Default"/>
              <w:spacing w:line="276" w:lineRule="auto"/>
              <w:rPr>
                <w:rFonts w:ascii="Arial" w:eastAsia="Times New Roman" w:hAnsi="Arial" w:cs="Arial"/>
                <w:b/>
                <w:color w:val="auto"/>
                <w:sz w:val="20"/>
                <w:szCs w:val="20"/>
              </w:rPr>
            </w:pPr>
          </w:p>
        </w:tc>
        <w:tc>
          <w:tcPr>
            <w:tcW w:w="6316" w:type="dxa"/>
            <w:shd w:val="clear" w:color="auto" w:fill="D6E3BC" w:themeFill="accent3" w:themeFillTint="66"/>
          </w:tcPr>
          <w:p w14:paraId="1B5F48E3" w14:textId="5C7E390F" w:rsidR="00D050FB" w:rsidRPr="00577BBE" w:rsidRDefault="00D050FB" w:rsidP="00D050FB">
            <w:pPr>
              <w:pStyle w:val="Default"/>
              <w:rPr>
                <w:rFonts w:ascii="Arial" w:eastAsia="Times New Roman" w:hAnsi="Arial" w:cs="Arial"/>
                <w:color w:val="auto"/>
                <w:sz w:val="20"/>
                <w:szCs w:val="20"/>
              </w:rPr>
            </w:pPr>
            <w:r w:rsidRPr="00577BBE">
              <w:rPr>
                <w:rFonts w:ascii="Arial" w:eastAsia="Times New Roman" w:hAnsi="Arial" w:cs="Arial"/>
                <w:color w:val="auto"/>
                <w:sz w:val="20"/>
                <w:szCs w:val="20"/>
              </w:rPr>
              <w:t>Azaldutakoa dela bide, ezinbestekoa da neurri arautzaile espezifikoa egitea, eta ezin daiteke beste aukerarik aztertu.</w:t>
            </w:r>
          </w:p>
          <w:p w14:paraId="4C059D5E" w14:textId="7C6C47DA" w:rsidR="004551D9" w:rsidRPr="00577BBE" w:rsidRDefault="004551D9" w:rsidP="00D050FB">
            <w:pPr>
              <w:pStyle w:val="Default"/>
              <w:rPr>
                <w:rFonts w:ascii="Arial" w:eastAsia="Times New Roman" w:hAnsi="Arial" w:cs="Arial"/>
                <w:color w:val="auto"/>
                <w:sz w:val="20"/>
                <w:szCs w:val="20"/>
              </w:rPr>
            </w:pPr>
          </w:p>
        </w:tc>
      </w:tr>
    </w:tbl>
    <w:p w14:paraId="4C059D6A" w14:textId="77777777" w:rsidR="00865035" w:rsidRPr="00577BBE" w:rsidRDefault="00865035" w:rsidP="00577BBE">
      <w:pPr>
        <w:pStyle w:val="Default"/>
        <w:spacing w:before="100" w:beforeAutospacing="1" w:after="100" w:afterAutospacing="1" w:line="23" w:lineRule="atLeast"/>
        <w:jc w:val="both"/>
        <w:rPr>
          <w:rFonts w:ascii="Arial" w:hAnsi="Arial" w:cs="Arial"/>
          <w:color w:val="auto"/>
          <w:sz w:val="20"/>
          <w:szCs w:val="20"/>
        </w:rPr>
      </w:pPr>
    </w:p>
    <w:sectPr w:rsidR="00865035" w:rsidRPr="00577BBE" w:rsidSect="007B0B8A">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403C1" w14:textId="77777777" w:rsidR="00CB3839" w:rsidRDefault="00CB3839" w:rsidP="0080292C">
      <w:pPr>
        <w:spacing w:after="0" w:line="240" w:lineRule="auto"/>
      </w:pPr>
      <w:r>
        <w:separator/>
      </w:r>
    </w:p>
  </w:endnote>
  <w:endnote w:type="continuationSeparator" w:id="0">
    <w:p w14:paraId="627FD0E6" w14:textId="77777777" w:rsidR="00CB3839" w:rsidRDefault="00CB3839" w:rsidP="0080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8375" w14:textId="77777777" w:rsidR="00062269" w:rsidRDefault="00062269">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972424913"/>
      <w:docPartObj>
        <w:docPartGallery w:val="Page Numbers (Bottom of Page)"/>
        <w:docPartUnique/>
      </w:docPartObj>
    </w:sdtPr>
    <w:sdtEndPr/>
    <w:sdtContent>
      <w:p w14:paraId="369D587E" w14:textId="7AA1A16F" w:rsidR="00B45FE4" w:rsidRDefault="00826CA1" w:rsidP="00554FC2">
        <w:pPr>
          <w:pStyle w:val="Orri-oina"/>
          <w:jc w:val="right"/>
          <w:rPr>
            <w:rFonts w:ascii="Arial" w:hAnsi="Arial" w:cs="Arial"/>
            <w:sz w:val="16"/>
            <w:szCs w:val="16"/>
          </w:rPr>
        </w:pPr>
        <w:r w:rsidRPr="00554FC2">
          <w:rPr>
            <w:rFonts w:ascii="Arial" w:hAnsi="Arial" w:cs="Arial"/>
            <w:sz w:val="16"/>
            <w:szCs w:val="16"/>
          </w:rPr>
          <w:fldChar w:fldCharType="begin"/>
        </w:r>
        <w:r w:rsidRPr="00554FC2">
          <w:rPr>
            <w:rFonts w:ascii="Arial" w:hAnsi="Arial" w:cs="Arial"/>
            <w:sz w:val="16"/>
            <w:szCs w:val="16"/>
          </w:rPr>
          <w:instrText>PAGE   \* MERGEFORMAT</w:instrText>
        </w:r>
        <w:r w:rsidRPr="00554FC2">
          <w:rPr>
            <w:rFonts w:ascii="Arial" w:hAnsi="Arial" w:cs="Arial"/>
            <w:sz w:val="16"/>
            <w:szCs w:val="16"/>
          </w:rPr>
          <w:fldChar w:fldCharType="separate"/>
        </w:r>
        <w:r w:rsidR="009F4CF1">
          <w:rPr>
            <w:rFonts w:ascii="Arial" w:hAnsi="Arial" w:cs="Arial"/>
            <w:noProof/>
            <w:sz w:val="16"/>
            <w:szCs w:val="16"/>
          </w:rPr>
          <w:t>2</w:t>
        </w:r>
        <w:r w:rsidRPr="00554FC2">
          <w:rPr>
            <w:rFonts w:ascii="Arial" w:hAnsi="Arial"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CF7D" w14:textId="5FAE8449" w:rsidR="00554FC2" w:rsidRPr="00554FC2" w:rsidRDefault="00554FC2" w:rsidP="00554FC2">
    <w:pPr>
      <w:pStyle w:val="Orri-oina"/>
      <w:jc w:val="right"/>
      <w:rPr>
        <w:rFonts w:ascii="Arial" w:hAnsi="Arial" w:cs="Arial"/>
        <w:sz w:val="16"/>
        <w:szCs w:val="16"/>
      </w:rPr>
    </w:pPr>
    <w:r w:rsidRPr="00554FC2">
      <w:rPr>
        <w:rFonts w:ascii="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7A407" w14:textId="77777777" w:rsidR="00CB3839" w:rsidRDefault="00CB3839" w:rsidP="0080292C">
      <w:pPr>
        <w:spacing w:after="0" w:line="240" w:lineRule="auto"/>
      </w:pPr>
      <w:r>
        <w:separator/>
      </w:r>
    </w:p>
  </w:footnote>
  <w:footnote w:type="continuationSeparator" w:id="0">
    <w:p w14:paraId="0B591AC7" w14:textId="77777777" w:rsidR="00CB3839" w:rsidRDefault="00CB3839" w:rsidP="0080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9382" w14:textId="77777777" w:rsidR="00062269" w:rsidRDefault="00062269">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DA02" w14:textId="77777777" w:rsidR="007B0B8A" w:rsidRDefault="007B0B8A" w:rsidP="007B0B8A">
    <w:pPr>
      <w:pStyle w:val="Goiburua"/>
      <w:jc w:val="center"/>
    </w:pPr>
    <w:r>
      <w:object w:dxaOrig="11549" w:dyaOrig="1410" w14:anchorId="0D29D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5pt;height:23.8pt" filled="t">
          <v:fill color2="black"/>
          <v:imagedata r:id="rId1" o:title=""/>
        </v:shape>
        <o:OLEObject Type="Embed" ProgID="Imagen" ShapeID="_x0000_i1025" DrawAspect="Content" ObjectID="_1682251810" r:id="rId2"/>
      </w:object>
    </w:r>
  </w:p>
  <w:p w14:paraId="4C059D70" w14:textId="77777777" w:rsidR="00310CFB" w:rsidRDefault="00310CFB" w:rsidP="00310CFB">
    <w:pPr>
      <w:pStyle w:val="Goiburu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D6EF8" w14:textId="77777777" w:rsidR="007B0B8A" w:rsidRDefault="007B0B8A" w:rsidP="007B0B8A">
    <w:pPr>
      <w:pStyle w:val="Goiburua"/>
      <w:jc w:val="center"/>
    </w:pPr>
    <w:r w:rsidRPr="00310CFB">
      <w:rPr>
        <w:rFonts w:ascii="Arial" w:hAnsi="Arial"/>
        <w:noProof/>
        <w:sz w:val="16"/>
        <w:lang w:eastAsia="eu-ES"/>
      </w:rPr>
      <w:drawing>
        <wp:inline distT="0" distB="0" distL="0" distR="0" wp14:anchorId="5696FDFA" wp14:editId="799A5082">
          <wp:extent cx="3771195" cy="4495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195" cy="449580"/>
                  </a:xfrm>
                  <a:prstGeom prst="rect">
                    <a:avLst/>
                  </a:prstGeom>
                  <a:noFill/>
                  <a:ln>
                    <a:noFill/>
                  </a:ln>
                </pic:spPr>
              </pic:pic>
            </a:graphicData>
          </a:graphic>
        </wp:inline>
      </w:drawing>
    </w:r>
  </w:p>
  <w:p w14:paraId="09169D38" w14:textId="77777777" w:rsidR="007B0B8A" w:rsidRDefault="007B0B8A">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72BD"/>
    <w:multiLevelType w:val="hybridMultilevel"/>
    <w:tmpl w:val="34D05888"/>
    <w:lvl w:ilvl="0" w:tplc="AC3C2204">
      <w:start w:val="1"/>
      <w:numFmt w:val="decimal"/>
      <w:lvlText w:val="%1-"/>
      <w:lvlJc w:val="left"/>
      <w:pPr>
        <w:ind w:left="2771" w:hanging="36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 w15:restartNumberingAfterBreak="0">
    <w:nsid w:val="1EC76B40"/>
    <w:multiLevelType w:val="hybridMultilevel"/>
    <w:tmpl w:val="883E5A8C"/>
    <w:lvl w:ilvl="0" w:tplc="1AA819E2">
      <w:start w:val="1"/>
      <w:numFmt w:val="bullet"/>
      <w:lvlText w:val=""/>
      <w:lvlJc w:val="left"/>
      <w:pPr>
        <w:tabs>
          <w:tab w:val="num" w:pos="720"/>
        </w:tabs>
        <w:ind w:left="720" w:hanging="360"/>
      </w:pPr>
      <w:rPr>
        <w:rFonts w:ascii="Symbol" w:hAnsi="Symbol" w:hint="default"/>
      </w:rPr>
    </w:lvl>
    <w:lvl w:ilvl="1" w:tplc="7B560260">
      <w:start w:val="453"/>
      <w:numFmt w:val="bullet"/>
      <w:lvlText w:val=""/>
      <w:lvlJc w:val="left"/>
      <w:pPr>
        <w:tabs>
          <w:tab w:val="num" w:pos="1440"/>
        </w:tabs>
        <w:ind w:left="1440" w:hanging="360"/>
      </w:pPr>
      <w:rPr>
        <w:rFonts w:ascii="Symbol" w:hAnsi="Symbol" w:hint="default"/>
      </w:rPr>
    </w:lvl>
    <w:lvl w:ilvl="2" w:tplc="6980CFA2" w:tentative="1">
      <w:start w:val="1"/>
      <w:numFmt w:val="bullet"/>
      <w:lvlText w:val=""/>
      <w:lvlJc w:val="left"/>
      <w:pPr>
        <w:tabs>
          <w:tab w:val="num" w:pos="2160"/>
        </w:tabs>
        <w:ind w:left="2160" w:hanging="360"/>
      </w:pPr>
      <w:rPr>
        <w:rFonts w:ascii="Symbol" w:hAnsi="Symbol" w:hint="default"/>
      </w:rPr>
    </w:lvl>
    <w:lvl w:ilvl="3" w:tplc="05B8A5F0" w:tentative="1">
      <w:start w:val="1"/>
      <w:numFmt w:val="bullet"/>
      <w:lvlText w:val=""/>
      <w:lvlJc w:val="left"/>
      <w:pPr>
        <w:tabs>
          <w:tab w:val="num" w:pos="2880"/>
        </w:tabs>
        <w:ind w:left="2880" w:hanging="360"/>
      </w:pPr>
      <w:rPr>
        <w:rFonts w:ascii="Symbol" w:hAnsi="Symbol" w:hint="default"/>
      </w:rPr>
    </w:lvl>
    <w:lvl w:ilvl="4" w:tplc="957C44A6" w:tentative="1">
      <w:start w:val="1"/>
      <w:numFmt w:val="bullet"/>
      <w:lvlText w:val=""/>
      <w:lvlJc w:val="left"/>
      <w:pPr>
        <w:tabs>
          <w:tab w:val="num" w:pos="3600"/>
        </w:tabs>
        <w:ind w:left="3600" w:hanging="360"/>
      </w:pPr>
      <w:rPr>
        <w:rFonts w:ascii="Symbol" w:hAnsi="Symbol" w:hint="default"/>
      </w:rPr>
    </w:lvl>
    <w:lvl w:ilvl="5" w:tplc="13621176" w:tentative="1">
      <w:start w:val="1"/>
      <w:numFmt w:val="bullet"/>
      <w:lvlText w:val=""/>
      <w:lvlJc w:val="left"/>
      <w:pPr>
        <w:tabs>
          <w:tab w:val="num" w:pos="4320"/>
        </w:tabs>
        <w:ind w:left="4320" w:hanging="360"/>
      </w:pPr>
      <w:rPr>
        <w:rFonts w:ascii="Symbol" w:hAnsi="Symbol" w:hint="default"/>
      </w:rPr>
    </w:lvl>
    <w:lvl w:ilvl="6" w:tplc="1EECA6D6" w:tentative="1">
      <w:start w:val="1"/>
      <w:numFmt w:val="bullet"/>
      <w:lvlText w:val=""/>
      <w:lvlJc w:val="left"/>
      <w:pPr>
        <w:tabs>
          <w:tab w:val="num" w:pos="5040"/>
        </w:tabs>
        <w:ind w:left="5040" w:hanging="360"/>
      </w:pPr>
      <w:rPr>
        <w:rFonts w:ascii="Symbol" w:hAnsi="Symbol" w:hint="default"/>
      </w:rPr>
    </w:lvl>
    <w:lvl w:ilvl="7" w:tplc="F7AC120A" w:tentative="1">
      <w:start w:val="1"/>
      <w:numFmt w:val="bullet"/>
      <w:lvlText w:val=""/>
      <w:lvlJc w:val="left"/>
      <w:pPr>
        <w:tabs>
          <w:tab w:val="num" w:pos="5760"/>
        </w:tabs>
        <w:ind w:left="5760" w:hanging="360"/>
      </w:pPr>
      <w:rPr>
        <w:rFonts w:ascii="Symbol" w:hAnsi="Symbol" w:hint="default"/>
      </w:rPr>
    </w:lvl>
    <w:lvl w:ilvl="8" w:tplc="7C50863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A6F2A7B"/>
    <w:multiLevelType w:val="hybridMultilevel"/>
    <w:tmpl w:val="E78A185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2AD97B80"/>
    <w:multiLevelType w:val="hybridMultilevel"/>
    <w:tmpl w:val="4B5C9ECE"/>
    <w:lvl w:ilvl="0" w:tplc="042D0001">
      <w:start w:val="1"/>
      <w:numFmt w:val="bullet"/>
      <w:lvlText w:val=""/>
      <w:lvlJc w:val="left"/>
      <w:pPr>
        <w:ind w:left="777" w:hanging="360"/>
      </w:pPr>
      <w:rPr>
        <w:rFonts w:ascii="Symbol" w:hAnsi="Symbol" w:hint="default"/>
      </w:rPr>
    </w:lvl>
    <w:lvl w:ilvl="1" w:tplc="042D0003" w:tentative="1">
      <w:start w:val="1"/>
      <w:numFmt w:val="bullet"/>
      <w:lvlText w:val="o"/>
      <w:lvlJc w:val="left"/>
      <w:pPr>
        <w:ind w:left="1497" w:hanging="360"/>
      </w:pPr>
      <w:rPr>
        <w:rFonts w:ascii="Courier New" w:hAnsi="Courier New" w:cs="Courier New" w:hint="default"/>
      </w:rPr>
    </w:lvl>
    <w:lvl w:ilvl="2" w:tplc="042D0005" w:tentative="1">
      <w:start w:val="1"/>
      <w:numFmt w:val="bullet"/>
      <w:lvlText w:val=""/>
      <w:lvlJc w:val="left"/>
      <w:pPr>
        <w:ind w:left="2217" w:hanging="360"/>
      </w:pPr>
      <w:rPr>
        <w:rFonts w:ascii="Wingdings" w:hAnsi="Wingdings" w:hint="default"/>
      </w:rPr>
    </w:lvl>
    <w:lvl w:ilvl="3" w:tplc="042D0001" w:tentative="1">
      <w:start w:val="1"/>
      <w:numFmt w:val="bullet"/>
      <w:lvlText w:val=""/>
      <w:lvlJc w:val="left"/>
      <w:pPr>
        <w:ind w:left="2937" w:hanging="360"/>
      </w:pPr>
      <w:rPr>
        <w:rFonts w:ascii="Symbol" w:hAnsi="Symbol" w:hint="default"/>
      </w:rPr>
    </w:lvl>
    <w:lvl w:ilvl="4" w:tplc="042D0003" w:tentative="1">
      <w:start w:val="1"/>
      <w:numFmt w:val="bullet"/>
      <w:lvlText w:val="o"/>
      <w:lvlJc w:val="left"/>
      <w:pPr>
        <w:ind w:left="3657" w:hanging="360"/>
      </w:pPr>
      <w:rPr>
        <w:rFonts w:ascii="Courier New" w:hAnsi="Courier New" w:cs="Courier New" w:hint="default"/>
      </w:rPr>
    </w:lvl>
    <w:lvl w:ilvl="5" w:tplc="042D0005" w:tentative="1">
      <w:start w:val="1"/>
      <w:numFmt w:val="bullet"/>
      <w:lvlText w:val=""/>
      <w:lvlJc w:val="left"/>
      <w:pPr>
        <w:ind w:left="4377" w:hanging="360"/>
      </w:pPr>
      <w:rPr>
        <w:rFonts w:ascii="Wingdings" w:hAnsi="Wingdings" w:hint="default"/>
      </w:rPr>
    </w:lvl>
    <w:lvl w:ilvl="6" w:tplc="042D0001" w:tentative="1">
      <w:start w:val="1"/>
      <w:numFmt w:val="bullet"/>
      <w:lvlText w:val=""/>
      <w:lvlJc w:val="left"/>
      <w:pPr>
        <w:ind w:left="5097" w:hanging="360"/>
      </w:pPr>
      <w:rPr>
        <w:rFonts w:ascii="Symbol" w:hAnsi="Symbol" w:hint="default"/>
      </w:rPr>
    </w:lvl>
    <w:lvl w:ilvl="7" w:tplc="042D0003" w:tentative="1">
      <w:start w:val="1"/>
      <w:numFmt w:val="bullet"/>
      <w:lvlText w:val="o"/>
      <w:lvlJc w:val="left"/>
      <w:pPr>
        <w:ind w:left="5817" w:hanging="360"/>
      </w:pPr>
      <w:rPr>
        <w:rFonts w:ascii="Courier New" w:hAnsi="Courier New" w:cs="Courier New" w:hint="default"/>
      </w:rPr>
    </w:lvl>
    <w:lvl w:ilvl="8" w:tplc="042D0005" w:tentative="1">
      <w:start w:val="1"/>
      <w:numFmt w:val="bullet"/>
      <w:lvlText w:val=""/>
      <w:lvlJc w:val="left"/>
      <w:pPr>
        <w:ind w:left="6537" w:hanging="360"/>
      </w:pPr>
      <w:rPr>
        <w:rFonts w:ascii="Wingdings" w:hAnsi="Wingdings" w:hint="default"/>
      </w:rPr>
    </w:lvl>
  </w:abstractNum>
  <w:abstractNum w:abstractNumId="4" w15:restartNumberingAfterBreak="0">
    <w:nsid w:val="6EA91FA0"/>
    <w:multiLevelType w:val="hybridMultilevel"/>
    <w:tmpl w:val="5D3073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F4"/>
    <w:rsid w:val="00013ECC"/>
    <w:rsid w:val="000142ED"/>
    <w:rsid w:val="000227B5"/>
    <w:rsid w:val="00037930"/>
    <w:rsid w:val="00050240"/>
    <w:rsid w:val="00062269"/>
    <w:rsid w:val="00064C0E"/>
    <w:rsid w:val="00067728"/>
    <w:rsid w:val="00071937"/>
    <w:rsid w:val="00081E9B"/>
    <w:rsid w:val="000836C1"/>
    <w:rsid w:val="000A24B6"/>
    <w:rsid w:val="000B7A1A"/>
    <w:rsid w:val="000D120C"/>
    <w:rsid w:val="000D68BA"/>
    <w:rsid w:val="000F5F30"/>
    <w:rsid w:val="00103799"/>
    <w:rsid w:val="0012092F"/>
    <w:rsid w:val="001320E5"/>
    <w:rsid w:val="00134028"/>
    <w:rsid w:val="001417DE"/>
    <w:rsid w:val="00170392"/>
    <w:rsid w:val="00173E41"/>
    <w:rsid w:val="00194C10"/>
    <w:rsid w:val="001B226C"/>
    <w:rsid w:val="001B3A1D"/>
    <w:rsid w:val="001B6414"/>
    <w:rsid w:val="001E27F7"/>
    <w:rsid w:val="001F5C15"/>
    <w:rsid w:val="001F7723"/>
    <w:rsid w:val="002050C5"/>
    <w:rsid w:val="00207EDF"/>
    <w:rsid w:val="0021171C"/>
    <w:rsid w:val="00226A44"/>
    <w:rsid w:val="00237C97"/>
    <w:rsid w:val="002505CB"/>
    <w:rsid w:val="0026228C"/>
    <w:rsid w:val="0026764F"/>
    <w:rsid w:val="002A1248"/>
    <w:rsid w:val="002B7CD5"/>
    <w:rsid w:val="002C632D"/>
    <w:rsid w:val="002E5032"/>
    <w:rsid w:val="00310CFB"/>
    <w:rsid w:val="0031153E"/>
    <w:rsid w:val="00317A03"/>
    <w:rsid w:val="00372081"/>
    <w:rsid w:val="00403603"/>
    <w:rsid w:val="00405B9E"/>
    <w:rsid w:val="004242AF"/>
    <w:rsid w:val="00425975"/>
    <w:rsid w:val="004266C7"/>
    <w:rsid w:val="004435C1"/>
    <w:rsid w:val="00451871"/>
    <w:rsid w:val="004551D9"/>
    <w:rsid w:val="004919E4"/>
    <w:rsid w:val="004A4754"/>
    <w:rsid w:val="004B1672"/>
    <w:rsid w:val="004C0840"/>
    <w:rsid w:val="004C36DB"/>
    <w:rsid w:val="004E0B46"/>
    <w:rsid w:val="00513E23"/>
    <w:rsid w:val="00541F4A"/>
    <w:rsid w:val="00545E5B"/>
    <w:rsid w:val="00554FC2"/>
    <w:rsid w:val="00561B95"/>
    <w:rsid w:val="005658FD"/>
    <w:rsid w:val="00565C0D"/>
    <w:rsid w:val="00576B92"/>
    <w:rsid w:val="00577BBE"/>
    <w:rsid w:val="0058482E"/>
    <w:rsid w:val="0059124D"/>
    <w:rsid w:val="005913F4"/>
    <w:rsid w:val="005E122F"/>
    <w:rsid w:val="005E4F35"/>
    <w:rsid w:val="005F172F"/>
    <w:rsid w:val="00611881"/>
    <w:rsid w:val="006156B7"/>
    <w:rsid w:val="006204C5"/>
    <w:rsid w:val="00622427"/>
    <w:rsid w:val="00634137"/>
    <w:rsid w:val="006654B7"/>
    <w:rsid w:val="006779F4"/>
    <w:rsid w:val="006B5E8E"/>
    <w:rsid w:val="006B66C8"/>
    <w:rsid w:val="006D47F0"/>
    <w:rsid w:val="006F4D38"/>
    <w:rsid w:val="00725C35"/>
    <w:rsid w:val="00755D6E"/>
    <w:rsid w:val="00757FF2"/>
    <w:rsid w:val="00780002"/>
    <w:rsid w:val="00791485"/>
    <w:rsid w:val="007B0B8A"/>
    <w:rsid w:val="007D4664"/>
    <w:rsid w:val="007F39CC"/>
    <w:rsid w:val="0080292C"/>
    <w:rsid w:val="008164B2"/>
    <w:rsid w:val="00826CA1"/>
    <w:rsid w:val="00831DC8"/>
    <w:rsid w:val="00856395"/>
    <w:rsid w:val="0085655D"/>
    <w:rsid w:val="00865035"/>
    <w:rsid w:val="00873F0D"/>
    <w:rsid w:val="00876954"/>
    <w:rsid w:val="008C160E"/>
    <w:rsid w:val="008C1F61"/>
    <w:rsid w:val="008D6281"/>
    <w:rsid w:val="00905DA4"/>
    <w:rsid w:val="0092251C"/>
    <w:rsid w:val="009362EC"/>
    <w:rsid w:val="00986D9B"/>
    <w:rsid w:val="009A679B"/>
    <w:rsid w:val="009B2CFA"/>
    <w:rsid w:val="009B5735"/>
    <w:rsid w:val="009C124C"/>
    <w:rsid w:val="009D1724"/>
    <w:rsid w:val="009F4CF1"/>
    <w:rsid w:val="00A14689"/>
    <w:rsid w:val="00A230EE"/>
    <w:rsid w:val="00A47F79"/>
    <w:rsid w:val="00A5515D"/>
    <w:rsid w:val="00A5751E"/>
    <w:rsid w:val="00A674CB"/>
    <w:rsid w:val="00A906F1"/>
    <w:rsid w:val="00A91FF9"/>
    <w:rsid w:val="00AC21E4"/>
    <w:rsid w:val="00AF251A"/>
    <w:rsid w:val="00B430BC"/>
    <w:rsid w:val="00B45FE4"/>
    <w:rsid w:val="00B55DFA"/>
    <w:rsid w:val="00B959A0"/>
    <w:rsid w:val="00BA7FC9"/>
    <w:rsid w:val="00BE5FD7"/>
    <w:rsid w:val="00BF4EA9"/>
    <w:rsid w:val="00C01BE6"/>
    <w:rsid w:val="00C07417"/>
    <w:rsid w:val="00C122FE"/>
    <w:rsid w:val="00C17C1E"/>
    <w:rsid w:val="00C22598"/>
    <w:rsid w:val="00C57B4B"/>
    <w:rsid w:val="00CB298C"/>
    <w:rsid w:val="00CB3839"/>
    <w:rsid w:val="00CB5805"/>
    <w:rsid w:val="00CD5345"/>
    <w:rsid w:val="00CF46DE"/>
    <w:rsid w:val="00D0392F"/>
    <w:rsid w:val="00D050FB"/>
    <w:rsid w:val="00D155F8"/>
    <w:rsid w:val="00D15C09"/>
    <w:rsid w:val="00D16E36"/>
    <w:rsid w:val="00D17586"/>
    <w:rsid w:val="00D23114"/>
    <w:rsid w:val="00D34B09"/>
    <w:rsid w:val="00D36016"/>
    <w:rsid w:val="00D47D46"/>
    <w:rsid w:val="00D64134"/>
    <w:rsid w:val="00DA3495"/>
    <w:rsid w:val="00DA72A6"/>
    <w:rsid w:val="00DB4519"/>
    <w:rsid w:val="00E06623"/>
    <w:rsid w:val="00E22692"/>
    <w:rsid w:val="00E22B43"/>
    <w:rsid w:val="00E43B09"/>
    <w:rsid w:val="00E86013"/>
    <w:rsid w:val="00ED4BAC"/>
    <w:rsid w:val="00F109C3"/>
    <w:rsid w:val="00F24A3C"/>
    <w:rsid w:val="00F51DA6"/>
    <w:rsid w:val="00F56DD4"/>
    <w:rsid w:val="00F7522A"/>
    <w:rsid w:val="00F87B7C"/>
    <w:rsid w:val="00F9396C"/>
    <w:rsid w:val="00F947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4C05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esteka">
    <w:name w:val="Hyperlink"/>
    <w:basedOn w:val="Paragrafoarenletra-tipolehenetsia"/>
    <w:uiPriority w:val="99"/>
    <w:unhideWhenUsed/>
    <w:rsid w:val="00237C97"/>
    <w:rPr>
      <w:color w:val="0000FF" w:themeColor="hyperlink"/>
      <w:u w:val="single"/>
    </w:rPr>
  </w:style>
  <w:style w:type="paragraph" w:styleId="Zerrenda-paragrafoa">
    <w:name w:val="List Paragraph"/>
    <w:basedOn w:val="Normala"/>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Gorputz-testua">
    <w:name w:val="Body Text"/>
    <w:basedOn w:val="Normala"/>
    <w:link w:val="Gorputz-testuaKar"/>
    <w:uiPriority w:val="1"/>
    <w:qFormat/>
    <w:rsid w:val="000B7A1A"/>
    <w:pPr>
      <w:widowControl w:val="0"/>
      <w:spacing w:after="0" w:line="240" w:lineRule="auto"/>
      <w:ind w:left="141"/>
    </w:pPr>
    <w:rPr>
      <w:rFonts w:ascii="Arial" w:eastAsia="Arial" w:hAnsi="Arial"/>
    </w:rPr>
  </w:style>
  <w:style w:type="character" w:customStyle="1" w:styleId="Gorputz-testuaKar">
    <w:name w:val="Gorputz-testua Kar"/>
    <w:basedOn w:val="Paragrafoarenletra-tipolehenetsia"/>
    <w:link w:val="Gorputz-testua"/>
    <w:uiPriority w:val="1"/>
    <w:rsid w:val="000B7A1A"/>
    <w:rPr>
      <w:rFonts w:ascii="Arial" w:eastAsia="Arial" w:hAnsi="Arial"/>
      <w:lang w:val="eu-ES"/>
    </w:rPr>
  </w:style>
  <w:style w:type="paragraph" w:styleId="Goiburua">
    <w:name w:val="header"/>
    <w:basedOn w:val="Normala"/>
    <w:link w:val="GoiburuaKar"/>
    <w:uiPriority w:val="99"/>
    <w:unhideWhenUsed/>
    <w:rsid w:val="0080292C"/>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80292C"/>
  </w:style>
  <w:style w:type="paragraph" w:styleId="Orri-oina">
    <w:name w:val="footer"/>
    <w:basedOn w:val="Normala"/>
    <w:link w:val="Orri-oinaKar"/>
    <w:uiPriority w:val="99"/>
    <w:unhideWhenUsed/>
    <w:rsid w:val="0080292C"/>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80292C"/>
  </w:style>
  <w:style w:type="paragraph" w:styleId="Bunbuiloarentestua">
    <w:name w:val="Balloon Text"/>
    <w:basedOn w:val="Normala"/>
    <w:link w:val="BunbuiloarentestuaKar"/>
    <w:uiPriority w:val="99"/>
    <w:semiHidden/>
    <w:unhideWhenUsed/>
    <w:rsid w:val="001B3A1D"/>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1B3A1D"/>
    <w:rPr>
      <w:rFonts w:ascii="Tahoma" w:hAnsi="Tahoma" w:cs="Tahoma"/>
      <w:sz w:val="16"/>
      <w:szCs w:val="16"/>
    </w:rPr>
  </w:style>
  <w:style w:type="table" w:styleId="Saretaduntaula">
    <w:name w:val="Table Grid"/>
    <w:basedOn w:val="Taulanormala"/>
    <w:uiPriority w:val="59"/>
    <w:rsid w:val="0066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PVDetalle">
    <w:name w:val="BOPVDetalle"/>
    <w:rsid w:val="00780002"/>
    <w:pPr>
      <w:widowControl w:val="0"/>
      <w:spacing w:after="220" w:line="240" w:lineRule="auto"/>
      <w:ind w:firstLine="425"/>
    </w:pPr>
    <w:rPr>
      <w:rFonts w:ascii="Arial" w:eastAsia="Times New Roman" w:hAnsi="Arial" w:cs="Times New Roman"/>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6393">
      <w:bodyDiv w:val="1"/>
      <w:marLeft w:val="0"/>
      <w:marRight w:val="0"/>
      <w:marTop w:val="0"/>
      <w:marBottom w:val="0"/>
      <w:divBdr>
        <w:top w:val="none" w:sz="0" w:space="0" w:color="auto"/>
        <w:left w:val="none" w:sz="0" w:space="0" w:color="auto"/>
        <w:bottom w:val="none" w:sz="0" w:space="0" w:color="auto"/>
        <w:right w:val="none" w:sz="0" w:space="0" w:color="auto"/>
      </w:divBdr>
      <w:divsChild>
        <w:div w:id="814026533">
          <w:marLeft w:val="432"/>
          <w:marRight w:val="0"/>
          <w:marTop w:val="50"/>
          <w:marBottom w:val="0"/>
          <w:divBdr>
            <w:top w:val="none" w:sz="0" w:space="0" w:color="auto"/>
            <w:left w:val="none" w:sz="0" w:space="0" w:color="auto"/>
            <w:bottom w:val="none" w:sz="0" w:space="0" w:color="auto"/>
            <w:right w:val="none" w:sz="0" w:space="0" w:color="auto"/>
          </w:divBdr>
        </w:div>
        <w:div w:id="1455637431">
          <w:marLeft w:val="907"/>
          <w:marRight w:val="0"/>
          <w:marTop w:val="50"/>
          <w:marBottom w:val="0"/>
          <w:divBdr>
            <w:top w:val="none" w:sz="0" w:space="0" w:color="auto"/>
            <w:left w:val="none" w:sz="0" w:space="0" w:color="auto"/>
            <w:bottom w:val="none" w:sz="0" w:space="0" w:color="auto"/>
            <w:right w:val="none" w:sz="0" w:space="0" w:color="auto"/>
          </w:divBdr>
        </w:div>
        <w:div w:id="1603102754">
          <w:marLeft w:val="907"/>
          <w:marRight w:val="0"/>
          <w:marTop w:val="50"/>
          <w:marBottom w:val="0"/>
          <w:divBdr>
            <w:top w:val="none" w:sz="0" w:space="0" w:color="auto"/>
            <w:left w:val="none" w:sz="0" w:space="0" w:color="auto"/>
            <w:bottom w:val="none" w:sz="0" w:space="0" w:color="auto"/>
            <w:right w:val="none" w:sz="0" w:space="0" w:color="auto"/>
          </w:divBdr>
        </w:div>
        <w:div w:id="1531190369">
          <w:marLeft w:val="907"/>
          <w:marRight w:val="0"/>
          <w:marTop w:val="50"/>
          <w:marBottom w:val="0"/>
          <w:divBdr>
            <w:top w:val="none" w:sz="0" w:space="0" w:color="auto"/>
            <w:left w:val="none" w:sz="0" w:space="0" w:color="auto"/>
            <w:bottom w:val="none" w:sz="0" w:space="0" w:color="auto"/>
            <w:right w:val="none" w:sz="0" w:space="0" w:color="auto"/>
          </w:divBdr>
        </w:div>
        <w:div w:id="1896773168">
          <w:marLeft w:val="907"/>
          <w:marRight w:val="0"/>
          <w:marTop w:val="50"/>
          <w:marBottom w:val="0"/>
          <w:divBdr>
            <w:top w:val="none" w:sz="0" w:space="0" w:color="auto"/>
            <w:left w:val="none" w:sz="0" w:space="0" w:color="auto"/>
            <w:bottom w:val="none" w:sz="0" w:space="0" w:color="auto"/>
            <w:right w:val="none" w:sz="0" w:space="0" w:color="auto"/>
          </w:divBdr>
        </w:div>
        <w:div w:id="978152193">
          <w:marLeft w:val="907"/>
          <w:marRight w:val="0"/>
          <w:marTop w:val="50"/>
          <w:marBottom w:val="0"/>
          <w:divBdr>
            <w:top w:val="none" w:sz="0" w:space="0" w:color="auto"/>
            <w:left w:val="none" w:sz="0" w:space="0" w:color="auto"/>
            <w:bottom w:val="none" w:sz="0" w:space="0" w:color="auto"/>
            <w:right w:val="none" w:sz="0" w:space="0" w:color="auto"/>
          </w:divBdr>
        </w:div>
        <w:div w:id="1692797652">
          <w:marLeft w:val="907"/>
          <w:marRight w:val="0"/>
          <w:marTop w:val="50"/>
          <w:marBottom w:val="0"/>
          <w:divBdr>
            <w:top w:val="none" w:sz="0" w:space="0" w:color="auto"/>
            <w:left w:val="none" w:sz="0" w:space="0" w:color="auto"/>
            <w:bottom w:val="none" w:sz="0" w:space="0" w:color="auto"/>
            <w:right w:val="none" w:sz="0" w:space="0" w:color="auto"/>
          </w:divBdr>
        </w:div>
        <w:div w:id="1416588039">
          <w:marLeft w:val="907"/>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3824C56685077438E0697D951552B91" ma:contentTypeVersion="12" ma:contentTypeDescription="Crear nuevo documento." ma:contentTypeScope="" ma:versionID="343087e9c7066359956044f73dfe77c7">
  <xsd:schema xmlns:xsd="http://www.w3.org/2001/XMLSchema" xmlns:xs="http://www.w3.org/2001/XMLSchema" xmlns:p="http://schemas.microsoft.com/office/2006/metadata/properties" xmlns:ns2="0d62390a-be3b-46cd-9b88-2591ad4c7779" xmlns:ns3="622679c0-bd55-434f-9177-fd8d9fd001c3" targetNamespace="http://schemas.microsoft.com/office/2006/metadata/properties" ma:root="true" ma:fieldsID="2982d0c13001777d7db65cc62a35f0a3" ns2:_="" ns3:_="">
    <xsd:import namespace="0d62390a-be3b-46cd-9b88-2591ad4c7779"/>
    <xsd:import namespace="622679c0-bd55-434f-9177-fd8d9fd00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390a-be3b-46cd-9b88-2591ad4c7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679c0-bd55-434f-9177-fd8d9fd001c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86802-68D5-4405-AAB2-56AA1B2140DC}">
  <ds:schemaRefs>
    <ds:schemaRef ds:uri="http://schemas.microsoft.com/sharepoint/v3/contenttype/forms"/>
  </ds:schemaRefs>
</ds:datastoreItem>
</file>

<file path=customXml/itemProps2.xml><?xml version="1.0" encoding="utf-8"?>
<ds:datastoreItem xmlns:ds="http://schemas.openxmlformats.org/officeDocument/2006/customXml" ds:itemID="{893D8B27-CEFF-46FC-B754-374CE5243641}">
  <ds:schemaRefs>
    <ds:schemaRef ds:uri="0d62390a-be3b-46cd-9b88-2591ad4c7779"/>
    <ds:schemaRef ds:uri="http://purl.org/dc/terms/"/>
    <ds:schemaRef ds:uri="http://schemas.microsoft.com/office/2006/documentManagement/types"/>
    <ds:schemaRef ds:uri="http://purl.org/dc/elements/1.1/"/>
    <ds:schemaRef ds:uri="http://schemas.microsoft.com/office/infopath/2007/PartnerControls"/>
    <ds:schemaRef ds:uri="622679c0-bd55-434f-9177-fd8d9fd001c3"/>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F188FF2-569E-4282-8D87-C9110A426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2390a-be3b-46cd-9b88-2591ad4c7779"/>
    <ds:schemaRef ds:uri="622679c0-bd55-434f-9177-fd8d9fd0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2160</Characters>
  <Application>Microsoft Office Word</Application>
  <DocSecurity>0</DocSecurity>
  <Lines>18</Lines>
  <Paragraphs>5</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2020-11-24T10:50:00Z</dcterms:created>
  <dcterms:modified xsi:type="dcterms:W3CDTF">2021-05-11T13:23:00Z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0x01010013824C56685077438E0697D951552B91</vt:lpwstr>
  </property>
</Properties>
</file>